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33" w:rsidRDefault="00C74733">
      <w:pPr>
        <w:widowControl w:val="0"/>
        <w:autoSpaceDE w:val="0"/>
        <w:autoSpaceDN w:val="0"/>
        <w:adjustRightInd w:val="0"/>
        <w:ind w:right="170"/>
        <w:jc w:val="center"/>
        <w:rPr>
          <w:rFonts w:ascii="Times New Roman TUR" w:hAnsi="Times New Roman TUR" w:cs="Times New Roman TUR"/>
        </w:rPr>
      </w:pPr>
      <w:r>
        <w:rPr>
          <w:rFonts w:ascii="Times New Roman TUR" w:hAnsi="Times New Roman TUR" w:cs="Times New Roman TUR"/>
        </w:rPr>
        <w:t>T.C.</w:t>
      </w:r>
    </w:p>
    <w:p w:rsidR="00C74733" w:rsidRDefault="00C74733">
      <w:pPr>
        <w:keepNext/>
        <w:widowControl w:val="0"/>
        <w:autoSpaceDE w:val="0"/>
        <w:autoSpaceDN w:val="0"/>
        <w:adjustRightInd w:val="0"/>
        <w:ind w:right="170"/>
        <w:jc w:val="center"/>
      </w:pPr>
      <w:r>
        <w:rPr>
          <w:rFonts w:ascii="Times New Roman TUR" w:hAnsi="Times New Roman TUR" w:cs="Times New Roman TUR"/>
        </w:rPr>
        <w:t>MALİ</w:t>
      </w:r>
      <w:r>
        <w:t>YE BAKANLIĞI</w:t>
      </w:r>
    </w:p>
    <w:p w:rsidR="00C74733" w:rsidRDefault="00C74733">
      <w:pPr>
        <w:widowControl w:val="0"/>
        <w:tabs>
          <w:tab w:val="left" w:pos="4320"/>
        </w:tabs>
        <w:autoSpaceDE w:val="0"/>
        <w:autoSpaceDN w:val="0"/>
        <w:adjustRightInd w:val="0"/>
        <w:ind w:right="170"/>
        <w:jc w:val="center"/>
      </w:pPr>
      <w:r>
        <w:rPr>
          <w:rFonts w:ascii="Times New Roman TUR" w:hAnsi="Times New Roman TUR" w:cs="Times New Roman TUR"/>
        </w:rPr>
        <w:t>Muhasebat Genel Müdürlüğ</w:t>
      </w:r>
      <w:r>
        <w:t>ü</w:t>
      </w:r>
    </w:p>
    <w:p w:rsidR="00C74733" w:rsidRDefault="00C74733">
      <w:pPr>
        <w:widowControl w:val="0"/>
        <w:tabs>
          <w:tab w:val="left" w:pos="708"/>
          <w:tab w:val="center" w:pos="4536"/>
          <w:tab w:val="right" w:pos="9072"/>
        </w:tabs>
        <w:autoSpaceDE w:val="0"/>
        <w:autoSpaceDN w:val="0"/>
        <w:adjustRightInd w:val="0"/>
      </w:pPr>
    </w:p>
    <w:p w:rsidR="00C74733" w:rsidRDefault="00C74733">
      <w:pPr>
        <w:widowControl w:val="0"/>
        <w:tabs>
          <w:tab w:val="left" w:pos="708"/>
          <w:tab w:val="center" w:pos="4536"/>
          <w:tab w:val="right" w:pos="9072"/>
        </w:tabs>
        <w:autoSpaceDE w:val="0"/>
        <w:autoSpaceDN w:val="0"/>
        <w:adjustRightInd w:val="0"/>
      </w:pPr>
    </w:p>
    <w:p w:rsidR="00C74733" w:rsidRPr="00C74733" w:rsidRDefault="00C74733" w:rsidP="00C74733">
      <w:pPr>
        <w:keepNext/>
        <w:widowControl w:val="0"/>
        <w:tabs>
          <w:tab w:val="left" w:pos="896"/>
          <w:tab w:val="left" w:pos="1416"/>
          <w:tab w:val="left" w:pos="2124"/>
          <w:tab w:val="left" w:pos="2832"/>
          <w:tab w:val="left" w:pos="3540"/>
          <w:tab w:val="left" w:pos="4248"/>
          <w:tab w:val="left" w:pos="4956"/>
          <w:tab w:val="left" w:pos="5664"/>
          <w:tab w:val="left" w:pos="6372"/>
          <w:tab w:val="left" w:pos="7080"/>
          <w:tab w:val="left" w:pos="7788"/>
          <w:tab w:val="left" w:pos="8496"/>
          <w:tab w:val="right" w:pos="9972"/>
        </w:tabs>
        <w:autoSpaceDE w:val="0"/>
        <w:autoSpaceDN w:val="0"/>
        <w:adjustRightInd w:val="0"/>
        <w:rPr>
          <w:rFonts w:ascii="Times New Roman TUR" w:hAnsi="Times New Roman TUR" w:cs="Times New Roman TUR"/>
          <w:b/>
          <w:bCs/>
        </w:rPr>
      </w:pPr>
      <w:r>
        <w:rPr>
          <w:rFonts w:ascii="Times New Roman TUR" w:hAnsi="Times New Roman TUR" w:cs="Times New Roman TUR"/>
        </w:rPr>
        <w:t xml:space="preserve">Sayı: B.07.0.MGM.049/4.5.809.99.00/ </w:t>
      </w:r>
      <w:r w:rsidRPr="00C74733">
        <w:rPr>
          <w:rFonts w:ascii="Times New Roman TUR" w:hAnsi="Times New Roman TUR" w:cs="Times New Roman TUR"/>
          <w:b/>
          <w:bCs/>
          <w:sz w:val="28"/>
          <w:szCs w:val="28"/>
        </w:rPr>
        <w:t xml:space="preserve">632 </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t xml:space="preserve">        </w:t>
      </w:r>
      <w:r w:rsidRPr="00C74733">
        <w:rPr>
          <w:rFonts w:ascii="Times New Roman TUR" w:hAnsi="Times New Roman TUR" w:cs="Times New Roman TUR"/>
          <w:b/>
          <w:bCs/>
          <w:sz w:val="28"/>
          <w:szCs w:val="28"/>
        </w:rPr>
        <w:t>16.01.2009</w:t>
      </w:r>
      <w:r>
        <w:rPr>
          <w:rFonts w:ascii="Times New Roman TUR" w:hAnsi="Times New Roman TUR" w:cs="Times New Roman TUR"/>
          <w:b/>
          <w:bCs/>
        </w:rPr>
        <w:tab/>
      </w:r>
    </w:p>
    <w:p w:rsidR="00C74733" w:rsidRDefault="00C74733">
      <w:pPr>
        <w:keepNext/>
        <w:widowControl w:val="0"/>
        <w:tabs>
          <w:tab w:val="left" w:pos="896"/>
        </w:tabs>
        <w:autoSpaceDE w:val="0"/>
        <w:autoSpaceDN w:val="0"/>
        <w:adjustRightInd w:val="0"/>
      </w:pPr>
      <w:r>
        <w:rPr>
          <w:rFonts w:ascii="Times New Roman TUR" w:hAnsi="Times New Roman TUR" w:cs="Times New Roman TUR"/>
        </w:rPr>
        <w:t>Konu: K</w:t>
      </w:r>
      <w:r>
        <w:t>üsurat farkları.</w:t>
      </w:r>
    </w:p>
    <w:p w:rsidR="00C74733" w:rsidRDefault="00C74733">
      <w:pPr>
        <w:widowControl w:val="0"/>
        <w:autoSpaceDE w:val="0"/>
        <w:autoSpaceDN w:val="0"/>
        <w:adjustRightInd w:val="0"/>
      </w:pPr>
    </w:p>
    <w:p w:rsidR="00C74733" w:rsidRDefault="00C74733">
      <w:pPr>
        <w:widowControl w:val="0"/>
        <w:autoSpaceDE w:val="0"/>
        <w:autoSpaceDN w:val="0"/>
        <w:adjustRightInd w:val="0"/>
      </w:pPr>
    </w:p>
    <w:p w:rsidR="00C74733" w:rsidRDefault="00C74733">
      <w:pPr>
        <w:widowControl w:val="0"/>
        <w:tabs>
          <w:tab w:val="left" w:pos="2130"/>
        </w:tabs>
        <w:autoSpaceDE w:val="0"/>
        <w:autoSpaceDN w:val="0"/>
        <w:adjustRightInd w:val="0"/>
      </w:pPr>
      <w:r>
        <w:tab/>
      </w:r>
    </w:p>
    <w:p w:rsidR="00C74733" w:rsidRDefault="00C74733">
      <w:pPr>
        <w:widowControl w:val="0"/>
        <w:tabs>
          <w:tab w:val="left" w:pos="2130"/>
        </w:tabs>
        <w:autoSpaceDE w:val="0"/>
        <w:autoSpaceDN w:val="0"/>
        <w:adjustRightInd w:val="0"/>
      </w:pPr>
    </w:p>
    <w:p w:rsidR="00C74733" w:rsidRDefault="00C74733">
      <w:pPr>
        <w:widowControl w:val="0"/>
        <w:autoSpaceDE w:val="0"/>
        <w:autoSpaceDN w:val="0"/>
        <w:adjustRightInd w:val="0"/>
        <w:jc w:val="center"/>
      </w:pPr>
    </w:p>
    <w:p w:rsidR="00C74733" w:rsidRDefault="00C74733">
      <w:pPr>
        <w:widowControl w:val="0"/>
        <w:autoSpaceDE w:val="0"/>
        <w:autoSpaceDN w:val="0"/>
        <w:adjustRightInd w:val="0"/>
        <w:ind w:firstLine="709"/>
        <w:jc w:val="both"/>
      </w:pPr>
      <w:r>
        <w:t xml:space="preserve">Bilindiği gibi Taşınır Mal Yönetmeliği </w:t>
      </w:r>
      <w:r>
        <w:rPr>
          <w:rFonts w:ascii="Times New Roman TUR" w:hAnsi="Times New Roman TUR" w:cs="Times New Roman TUR"/>
        </w:rPr>
        <w:t>hükümlerine göre</w:t>
      </w:r>
      <w:r>
        <w:t xml:space="preserve"> taşınırlar maliyet bedeliyle kayıtlara alınmaktadır. Ancak maliyet fiyatlarına vergi, resim, harç, nakliye, sigorta ve benzeri giderler </w:t>
      </w:r>
      <w:r>
        <w:rPr>
          <w:rFonts w:ascii="Times New Roman TUR" w:hAnsi="Times New Roman TUR" w:cs="Times New Roman TUR"/>
        </w:rPr>
        <w:t>dahil edildiğinden taşınır birim fiyatları</w:t>
      </w:r>
      <w:r>
        <w:t xml:space="preserve"> bir </w:t>
      </w:r>
      <w:r>
        <w:rPr>
          <w:rFonts w:ascii="Times New Roman TUR" w:hAnsi="Times New Roman TUR" w:cs="Times New Roman TUR"/>
        </w:rPr>
        <w:t>Kuru</w:t>
      </w:r>
      <w:r>
        <w:t>ştan</w:t>
      </w:r>
      <w:r>
        <w:rPr>
          <w:rFonts w:ascii="Times New Roman TUR" w:hAnsi="Times New Roman TUR" w:cs="Times New Roman TUR"/>
        </w:rPr>
        <w:t xml:space="preserve"> küçük değerleri ihtiva edebilmektedir. Diğer taraftan, 5083 sayı</w:t>
      </w:r>
      <w:r>
        <w:t xml:space="preserve">lı Türkiye Cumhuriyeti Devletinin Para Birimi Hakkında Kanunda Türk Lirası cinsinden yapılan işlemlerde yarım Kuruş ve üzerindeki değerlerin bir Kuruşa tamamlanacağı; yarım Kuruşun altındaki değerlerin ise dikkate alınmayacağı öngörüldüğünden muhasebe kayıtlarında bir Kuruşun altındaki değerlere yer verilememektedir. Bu nedenle envanter kayıtlarında yer alan bir </w:t>
      </w:r>
      <w:r>
        <w:rPr>
          <w:rFonts w:ascii="Times New Roman TUR" w:hAnsi="Times New Roman TUR" w:cs="Times New Roman TUR"/>
        </w:rPr>
        <w:t>Kuru</w:t>
      </w:r>
      <w:r>
        <w:t>ştan</w:t>
      </w:r>
      <w:r>
        <w:rPr>
          <w:rFonts w:ascii="Times New Roman TUR" w:hAnsi="Times New Roman TUR" w:cs="Times New Roman TUR"/>
        </w:rPr>
        <w:t xml:space="preserve"> daha küçük değerler muhasebe kayıtlarına alınırken </w:t>
      </w:r>
      <w:r>
        <w:t>“0,01” veya “0,00” Kuruşa yuvarlanmakta, bunun sonucu olarak envanter kayıtları ile muhasebe kayıtları arasında fark oluşmaktadır.</w:t>
      </w:r>
    </w:p>
    <w:p w:rsidR="00C74733" w:rsidRDefault="00C74733">
      <w:pPr>
        <w:widowControl w:val="0"/>
        <w:autoSpaceDE w:val="0"/>
        <w:autoSpaceDN w:val="0"/>
        <w:adjustRightInd w:val="0"/>
        <w:ind w:firstLine="709"/>
        <w:jc w:val="both"/>
      </w:pPr>
      <w:r>
        <w:t>Muhasebeleştirme işlemi sırasında bir Kuruşun altındaki değerlerin yuvarlanması sonucunda harcama birimlerinin envanter kayıtları ile muhasebe kayıtları arasında oluşan farkların giderilmesi için aşağıda belirtildiği şekilde işlem yapılması uygun görülmüştür.</w:t>
      </w:r>
    </w:p>
    <w:p w:rsidR="00C74733" w:rsidRDefault="00C74733">
      <w:pPr>
        <w:widowControl w:val="0"/>
        <w:autoSpaceDE w:val="0"/>
        <w:autoSpaceDN w:val="0"/>
        <w:adjustRightInd w:val="0"/>
        <w:ind w:firstLine="708"/>
        <w:jc w:val="both"/>
        <w:rPr>
          <w:rFonts w:ascii="Times New Roman TUR" w:hAnsi="Times New Roman TUR" w:cs="Times New Roman TUR"/>
        </w:rPr>
      </w:pPr>
      <w:r>
        <w:rPr>
          <w:rFonts w:ascii="Times New Roman TUR" w:hAnsi="Times New Roman TUR" w:cs="Times New Roman TUR"/>
        </w:rPr>
        <w:t>a) Harcama birimlerince; tüketim malzemesi çıkışlarına ilişkin olarak, Yönetmeliğin 30 uncu maddesinin ikinci fıkrası gereğince düzenlenerek muhasebe birimine gönderilen son döneme ait onaylı listede gösterilen taşınır çıkışlarının muhasebeleştirilmesinden sonra, muhasebe biriminden stoklar ve maddi duran varlıkların bir raporu alınacak ve kendi envanter kayıtlarından alınan raporla karşılaştırılarak, varsa, bir</w:t>
      </w:r>
      <w:r>
        <w:t xml:space="preserve"> </w:t>
      </w:r>
      <w:r>
        <w:rPr>
          <w:rFonts w:ascii="Times New Roman TUR" w:hAnsi="Times New Roman TUR" w:cs="Times New Roman TUR"/>
        </w:rPr>
        <w:t>Kuru</w:t>
      </w:r>
      <w:r>
        <w:t>ştan</w:t>
      </w:r>
      <w:r>
        <w:rPr>
          <w:rFonts w:ascii="Times New Roman TUR" w:hAnsi="Times New Roman TUR" w:cs="Times New Roman TUR"/>
        </w:rPr>
        <w:t xml:space="preserve"> daha küçük değerlerden kaynaklanan farklar tespit edilerek II nci düzey detaylar itibarıyla “Kuruş Farkları Cetveli”inde (Ek-1) gösterilecektir. </w:t>
      </w:r>
    </w:p>
    <w:p w:rsidR="00C74733" w:rsidRDefault="00C74733">
      <w:pPr>
        <w:widowControl w:val="0"/>
        <w:autoSpaceDE w:val="0"/>
        <w:autoSpaceDN w:val="0"/>
        <w:adjustRightInd w:val="0"/>
        <w:ind w:firstLine="708"/>
        <w:jc w:val="both"/>
        <w:rPr>
          <w:rFonts w:ascii="Times New Roman TUR" w:hAnsi="Times New Roman TUR" w:cs="Times New Roman TUR"/>
        </w:rPr>
      </w:pPr>
      <w:r>
        <w:rPr>
          <w:rFonts w:ascii="Times New Roman TUR" w:hAnsi="Times New Roman TUR" w:cs="Times New Roman TUR"/>
        </w:rPr>
        <w:t>Taşınır Kayıt ve Kontrol Yetkilisi ile Harcama Yetkilisi tarafından imzalanan Kuruş Farkları Cetveli bir yazı ekinde hizmet alınan muhasebe birimine gönderilerek, kayıtların düzeltilmesi istenilecektir.</w:t>
      </w:r>
    </w:p>
    <w:p w:rsidR="00C74733" w:rsidRDefault="00C74733">
      <w:pPr>
        <w:widowControl w:val="0"/>
        <w:autoSpaceDE w:val="0"/>
        <w:autoSpaceDN w:val="0"/>
        <w:adjustRightInd w:val="0"/>
        <w:ind w:firstLine="708"/>
        <w:jc w:val="both"/>
        <w:rPr>
          <w:sz w:val="18"/>
          <w:szCs w:val="18"/>
        </w:rPr>
      </w:pPr>
      <w:r>
        <w:rPr>
          <w:rFonts w:ascii="Times New Roman TUR" w:hAnsi="Times New Roman TUR" w:cs="Times New Roman TUR"/>
        </w:rPr>
        <w:t xml:space="preserve">Yuvarlama işlemi II nci düzey detay kodları itibarıyla yapıldığından, aşağı veya yukarı yuvarlama sonucu muhasebe kayıtlarına noksan veya fazla yansıtılan değer; muhasebeleştirmeye esas her bir giriş veya çıkış işleminde azami (0,004999) değer kadar azalış yönünde, yarım (0,005000) Kuruş kadar artış yönünde olacaktır. Bu nedenle her bir II nci düzey detayda oluşabilecek azami fark, II nci düzey bazında azalış yönünde yapılan işlem tutarıyla artış yönünde yapılan işlem tutarı arasındaki fark ile sınırlı kalacaktır. Örneğin; </w:t>
      </w:r>
      <w:r>
        <w:t>150.01.01 hesabına ilişkin olarak yapılan 10.000 işlemin her birinde yarım Kuruşun altındaki değerlerin “0,00” yuvarlandığı kabul edilirse, muhasebeye yansıtılamayan (noksan kaydedilen) tutar azami (10.000 x 0,004999) 49,99 TL olacak; şayet bu işlemlerin tamamında yarım Kuruş ve üzerindeki değerler “0,01” Kuruşa yuvarlanmış ise muhasebe kayıtlarına azami (10.000 x 0,005000) 50,00 TL fazla kayıt yapılmış olabilecektir.</w:t>
      </w:r>
      <w:r>
        <w:rPr>
          <w:rFonts w:ascii="Times New Roman TUR" w:hAnsi="Times New Roman TUR" w:cs="Times New Roman TUR"/>
        </w:rPr>
        <w:t xml:space="preserve"> Bu işlemlerin 4565 inde aşağı yönde işlem yapıldığı kabul edilirse hesaplara yansıtılamayan azami tutar (4565 x 0,004999) 22,82 TL, diğer işlemlerin tamamında artış yönünde işlem yapıldığı kabul edilirse muhasebeye fazla kaydedilmiş azami tutar (5435 x 0,005000) 27,18 TL ile sınırlı olacak, bu durumda envanter kaydı ile muhasebe kaydı arasındaki azami fark; yukarı yönde işlem sonucu muhasebeye yansıtılan  toplam 27,18 TL ile aşağı yönde işlem sonucu muhasebeye yansıtılamayan toplam 22,82 TL arasındaki fark (4,39 TL) kadar olacak ve bu fark cetvelde “Muhasebede Fazla” sütununda gösterilecektir. Cetvelin düzenlenmesinde </w:t>
      </w:r>
      <w:r>
        <w:rPr>
          <w:rFonts w:ascii="Times New Roman TUR" w:hAnsi="Times New Roman TUR" w:cs="Times New Roman TUR"/>
        </w:rPr>
        <w:lastRenderedPageBreak/>
        <w:t>bu hususlara özellikle dikkat edilmesi gerekmekte olup, yuvarlama işleminden kaynaklanmadığı halde cetvelde küsurat farkı olarak bildirildiği tespit edilen farklara ilişkin sorumluluk bildirimde bulunan yetkililere aittir.</w:t>
      </w:r>
    </w:p>
    <w:p w:rsidR="00C74733" w:rsidRDefault="00C74733">
      <w:pPr>
        <w:widowControl w:val="0"/>
        <w:autoSpaceDE w:val="0"/>
        <w:autoSpaceDN w:val="0"/>
        <w:adjustRightInd w:val="0"/>
        <w:ind w:firstLine="708"/>
        <w:jc w:val="both"/>
        <w:rPr>
          <w:rFonts w:ascii="Times New Roman TUR" w:hAnsi="Times New Roman TUR" w:cs="Times New Roman TUR"/>
        </w:rPr>
      </w:pPr>
      <w:r>
        <w:rPr>
          <w:rFonts w:ascii="Times New Roman TUR" w:hAnsi="Times New Roman TUR" w:cs="Times New Roman TUR"/>
        </w:rPr>
        <w:t>b) Muhasebe birimlerince; harcama birimlerinden alınan Kuruş Farkları Cetvelinin “Muhasebede Noksan” sütununda gösterilen tutar, II düzey detay itibarıyla ilgili stok veya varlık hesabına borç, 600-Gelirler Hesabına (05.09.01.99-Yukarıda Tanımlanamayan Çeşitli Gelirler) alacak; “Muhasebede Fazla” sütununda gösterilen tutar ise, 630-Giderler Hesabına (99.99-Yukarıda Tanımlanamayan Çeşitli Giderler) borç ilgili stok veya varlık hesabına alacak kaydedilecektir.</w:t>
      </w:r>
    </w:p>
    <w:p w:rsidR="00C74733" w:rsidRDefault="00C74733">
      <w:pPr>
        <w:widowControl w:val="0"/>
        <w:autoSpaceDE w:val="0"/>
        <w:autoSpaceDN w:val="0"/>
        <w:adjustRightInd w:val="0"/>
        <w:ind w:firstLine="708"/>
        <w:jc w:val="both"/>
      </w:pPr>
      <w:r>
        <w:rPr>
          <w:rFonts w:ascii="Times New Roman TUR" w:hAnsi="Times New Roman TUR" w:cs="Times New Roman TUR"/>
        </w:rPr>
        <w:t>Yukarı</w:t>
      </w:r>
      <w:r>
        <w:t>da belirtilen işlemler sonuçlandırıldıktan sonra, Yönetmeliğin</w:t>
      </w:r>
      <w:r>
        <w:rPr>
          <w:rFonts w:ascii="Times New Roman TUR" w:hAnsi="Times New Roman TUR" w:cs="Times New Roman TUR"/>
        </w:rPr>
        <w:t xml:space="preserve"> 34 üncü maddesi gereğ</w:t>
      </w:r>
      <w:r>
        <w:t>ince düzenlenen taşınır yönetim hesabı cetvellerinde gösterilen tutarlarda muhasebe kayıtlarına göre hala bir fark bulunması halinde, farkın nedenleri harcama birimlerince araştırılacak, ancak hesabın verilmesinde bir gecikmeye sebep olunmaması bakımından, muhasebe yetkilileri bu farka ilişkin şerh koymak suretiyle cetveli onaylayabileceklerdir.</w:t>
      </w:r>
    </w:p>
    <w:p w:rsidR="00C74733" w:rsidRDefault="00C74733">
      <w:pPr>
        <w:widowControl w:val="0"/>
        <w:autoSpaceDE w:val="0"/>
        <w:autoSpaceDN w:val="0"/>
        <w:adjustRightInd w:val="0"/>
        <w:ind w:firstLine="708"/>
        <w:jc w:val="both"/>
      </w:pPr>
      <w:r>
        <w:rPr>
          <w:rFonts w:ascii="Times New Roman TUR" w:hAnsi="Times New Roman TUR" w:cs="Times New Roman TUR"/>
        </w:rPr>
        <w:t>Bilgilerini ve uygulamanı</w:t>
      </w:r>
      <w:r>
        <w:t>n yukarıdaki açıklamalara göre yapılması hususunda gereğini arz ve rica ederim.</w:t>
      </w:r>
    </w:p>
    <w:p w:rsidR="00C74733" w:rsidRDefault="00C74733">
      <w:pPr>
        <w:widowControl w:val="0"/>
        <w:autoSpaceDE w:val="0"/>
        <w:autoSpaceDN w:val="0"/>
        <w:adjustRightInd w:val="0"/>
        <w:ind w:firstLine="708"/>
        <w:jc w:val="both"/>
      </w:pPr>
    </w:p>
    <w:p w:rsidR="00C74733" w:rsidRDefault="00C74733">
      <w:pPr>
        <w:widowControl w:val="0"/>
        <w:autoSpaceDE w:val="0"/>
        <w:autoSpaceDN w:val="0"/>
        <w:adjustRightInd w:val="0"/>
        <w:ind w:firstLine="708"/>
        <w:jc w:val="both"/>
      </w:pPr>
    </w:p>
    <w:p w:rsidR="00C74733" w:rsidRDefault="00C74733">
      <w:pPr>
        <w:widowControl w:val="0"/>
        <w:autoSpaceDE w:val="0"/>
        <w:autoSpaceDN w:val="0"/>
        <w:adjustRightInd w:val="0"/>
        <w:ind w:firstLine="708"/>
        <w:jc w:val="both"/>
      </w:pPr>
      <w:r>
        <w:t xml:space="preserve"> </w:t>
      </w:r>
    </w:p>
    <w:tbl>
      <w:tblPr>
        <w:tblW w:w="0" w:type="auto"/>
        <w:tblInd w:w="70" w:type="dxa"/>
        <w:tblCellMar>
          <w:left w:w="70" w:type="dxa"/>
          <w:right w:w="70" w:type="dxa"/>
        </w:tblCellMar>
        <w:tblLook w:val="0000"/>
      </w:tblPr>
      <w:tblGrid>
        <w:gridCol w:w="6281"/>
        <w:gridCol w:w="3193"/>
      </w:tblGrid>
      <w:tr w:rsidR="00C74733">
        <w:tblPrEx>
          <w:tblCellMar>
            <w:top w:w="0" w:type="dxa"/>
            <w:bottom w:w="0" w:type="dxa"/>
          </w:tblCellMar>
        </w:tblPrEx>
        <w:trPr>
          <w:trHeight w:val="1324"/>
        </w:trPr>
        <w:tc>
          <w:tcPr>
            <w:tcW w:w="6281" w:type="dxa"/>
            <w:tcBorders>
              <w:top w:val="nil"/>
              <w:left w:val="nil"/>
              <w:bottom w:val="nil"/>
              <w:right w:val="nil"/>
            </w:tcBorders>
          </w:tcPr>
          <w:p w:rsidR="00C74733" w:rsidRDefault="00C74733">
            <w:pPr>
              <w:ind w:left="-3476"/>
            </w:pPr>
          </w:p>
        </w:tc>
        <w:tc>
          <w:tcPr>
            <w:tcW w:w="3193" w:type="dxa"/>
            <w:tcBorders>
              <w:top w:val="nil"/>
              <w:left w:val="nil"/>
              <w:bottom w:val="nil"/>
              <w:right w:val="nil"/>
            </w:tcBorders>
          </w:tcPr>
          <w:p w:rsidR="00C74733" w:rsidRDefault="00C74733">
            <w:pPr>
              <w:rPr>
                <w:color w:val="000000"/>
              </w:rPr>
            </w:pPr>
          </w:p>
          <w:p w:rsidR="00C74733" w:rsidRDefault="00C74733">
            <w:r>
              <w:rPr>
                <w:color w:val="000000"/>
              </w:rPr>
              <w:t xml:space="preserve">            </w:t>
            </w:r>
            <w:r>
              <w:t>Ömer DUMAN</w:t>
            </w:r>
          </w:p>
          <w:p w:rsidR="00C74733" w:rsidRDefault="00C74733">
            <w:r>
              <w:t xml:space="preserve">                  Bakan a.</w:t>
            </w:r>
          </w:p>
          <w:p w:rsidR="00C74733" w:rsidRDefault="00C74733">
            <w:r>
              <w:t xml:space="preserve">               Genel Müdür</w:t>
            </w:r>
          </w:p>
          <w:p w:rsidR="00C74733" w:rsidRDefault="00C74733">
            <w:pPr>
              <w:ind w:left="-3476"/>
            </w:pPr>
          </w:p>
        </w:tc>
      </w:tr>
    </w:tbl>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r>
        <w:t>EK-1 (</w:t>
      </w:r>
      <w:r>
        <w:rPr>
          <w:rFonts w:ascii="Times New Roman TUR" w:hAnsi="Times New Roman TUR" w:cs="Times New Roman TUR"/>
        </w:rPr>
        <w:t>Kuruş Farkları Cetveli)</w:t>
      </w:r>
    </w:p>
    <w:p w:rsidR="00C74733" w:rsidRDefault="00C74733">
      <w:pPr>
        <w:widowControl w:val="0"/>
        <w:autoSpaceDE w:val="0"/>
        <w:autoSpaceDN w:val="0"/>
        <w:adjustRightInd w:val="0"/>
        <w:jc w:val="both"/>
        <w:rPr>
          <w:u w:val="single"/>
        </w:rPr>
      </w:pPr>
      <w:r>
        <w:rPr>
          <w:u w:val="single"/>
        </w:rPr>
        <w:t>DAĞITIM:</w:t>
      </w:r>
    </w:p>
    <w:p w:rsidR="00C74733" w:rsidRDefault="00C74733">
      <w:pPr>
        <w:widowControl w:val="0"/>
        <w:autoSpaceDE w:val="0"/>
        <w:autoSpaceDN w:val="0"/>
        <w:adjustRightInd w:val="0"/>
        <w:jc w:val="both"/>
      </w:pPr>
      <w:r>
        <w:t>5018 Sayılı Kanun kapsamındaki kamu idarelerine.</w:t>
      </w: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widowControl w:val="0"/>
        <w:autoSpaceDE w:val="0"/>
        <w:autoSpaceDN w:val="0"/>
        <w:adjustRightInd w:val="0"/>
        <w:jc w:val="both"/>
      </w:pPr>
    </w:p>
    <w:p w:rsidR="00C74733" w:rsidRDefault="00C74733">
      <w:pPr>
        <w:pStyle w:val="Balk4"/>
        <w:rPr>
          <w:sz w:val="20"/>
          <w:szCs w:val="20"/>
        </w:rPr>
      </w:pPr>
      <w:r>
        <w:rPr>
          <w:sz w:val="20"/>
          <w:szCs w:val="20"/>
        </w:rPr>
        <w:t>EK-1</w:t>
      </w:r>
    </w:p>
    <w:tbl>
      <w:tblPr>
        <w:tblW w:w="5000" w:type="pct"/>
        <w:jc w:val="center"/>
        <w:tblCellMar>
          <w:left w:w="0" w:type="dxa"/>
          <w:right w:w="0" w:type="dxa"/>
        </w:tblCellMar>
        <w:tblLook w:val="0000"/>
      </w:tblPr>
      <w:tblGrid>
        <w:gridCol w:w="2059"/>
        <w:gridCol w:w="1020"/>
        <w:gridCol w:w="2917"/>
        <w:gridCol w:w="1896"/>
        <w:gridCol w:w="2110"/>
      </w:tblGrid>
      <w:tr w:rsidR="00C74733">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C74733" w:rsidRDefault="00C74733">
            <w:pPr>
              <w:jc w:val="center"/>
              <w:rPr>
                <w:b/>
                <w:bCs/>
                <w:sz w:val="20"/>
                <w:szCs w:val="20"/>
              </w:rPr>
            </w:pPr>
          </w:p>
          <w:p w:rsidR="00C74733" w:rsidRDefault="00C74733">
            <w:pPr>
              <w:jc w:val="center"/>
              <w:rPr>
                <w:b/>
                <w:bCs/>
                <w:sz w:val="20"/>
                <w:szCs w:val="20"/>
              </w:rPr>
            </w:pPr>
            <w:r>
              <w:rPr>
                <w:b/>
                <w:bCs/>
                <w:sz w:val="20"/>
                <w:szCs w:val="20"/>
              </w:rPr>
              <w:t xml:space="preserve">KURUŞ FARKLARI CETVELİ                                                 </w:t>
            </w:r>
          </w:p>
          <w:p w:rsidR="00C74733" w:rsidRDefault="00C74733">
            <w:pPr>
              <w:jc w:val="center"/>
              <w:rPr>
                <w:b/>
                <w:bCs/>
                <w:sz w:val="20"/>
                <w:szCs w:val="20"/>
              </w:rPr>
            </w:pPr>
          </w:p>
        </w:tc>
      </w:tr>
      <w:tr w:rsidR="00C74733">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b/>
                <w:bCs/>
                <w:sz w:val="20"/>
                <w:szCs w:val="20"/>
              </w:rPr>
            </w:pPr>
            <w:r>
              <w:rPr>
                <w:b/>
                <w:bCs/>
                <w:sz w:val="20"/>
                <w:szCs w:val="20"/>
              </w:rPr>
              <w:t>İL VE İLÇENİN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r>
      <w:tr w:rsidR="00C74733">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b/>
                <w:bCs/>
                <w:sz w:val="20"/>
                <w:szCs w:val="20"/>
              </w:rPr>
            </w:pPr>
            <w:r>
              <w:rPr>
                <w:b/>
                <w:bCs/>
                <w:sz w:val="20"/>
                <w:szCs w:val="20"/>
              </w:rPr>
              <w:t>HARCAMA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r>
      <w:tr w:rsidR="00C74733">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b/>
                <w:bCs/>
                <w:sz w:val="20"/>
                <w:szCs w:val="20"/>
              </w:rPr>
            </w:pPr>
            <w:r>
              <w:rPr>
                <w:b/>
                <w:bCs/>
                <w:sz w:val="20"/>
                <w:szCs w:val="20"/>
              </w:rPr>
              <w:t>AMBARIN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r>
      <w:tr w:rsidR="00C74733">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b/>
                <w:bCs/>
                <w:sz w:val="20"/>
                <w:szCs w:val="20"/>
              </w:rPr>
            </w:pPr>
            <w:r>
              <w:rPr>
                <w:b/>
                <w:bCs/>
                <w:sz w:val="20"/>
                <w:szCs w:val="20"/>
              </w:rPr>
              <w:t>MUHASEBE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C74733" w:rsidRDefault="00C74733">
            <w:pPr>
              <w:rPr>
                <w:sz w:val="20"/>
                <w:szCs w:val="20"/>
              </w:rPr>
            </w:pPr>
            <w:r>
              <w:rPr>
                <w:sz w:val="20"/>
                <w:szCs w:val="20"/>
              </w:rPr>
              <w:t> </w:t>
            </w:r>
          </w:p>
        </w:tc>
      </w:tr>
      <w:tr w:rsidR="00C74733">
        <w:trPr>
          <w:trHeight w:val="402"/>
          <w:jc w:val="center"/>
        </w:trPr>
        <w:tc>
          <w:tcPr>
            <w:tcW w:w="1539" w:type="pct"/>
            <w:gridSpan w:val="2"/>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C74733" w:rsidRDefault="00C74733">
            <w:pPr>
              <w:rPr>
                <w:b/>
                <w:bCs/>
                <w:sz w:val="20"/>
                <w:szCs w:val="20"/>
              </w:rPr>
            </w:pPr>
            <w:r>
              <w:rPr>
                <w:b/>
                <w:bCs/>
                <w:sz w:val="20"/>
                <w:szCs w:val="20"/>
              </w:rPr>
              <w:t xml:space="preserve">TAŞINIR II DÜZEY KODU </w:t>
            </w:r>
          </w:p>
        </w:tc>
        <w:tc>
          <w:tcPr>
            <w:tcW w:w="145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ADI</w:t>
            </w:r>
          </w:p>
        </w:tc>
        <w:tc>
          <w:tcPr>
            <w:tcW w:w="94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C74733" w:rsidRDefault="00C74733">
            <w:pPr>
              <w:jc w:val="center"/>
              <w:rPr>
                <w:b/>
                <w:bCs/>
                <w:sz w:val="20"/>
                <w:szCs w:val="20"/>
              </w:rPr>
            </w:pPr>
            <w:r>
              <w:rPr>
                <w:b/>
                <w:bCs/>
                <w:sz w:val="20"/>
                <w:szCs w:val="20"/>
              </w:rPr>
              <w:t>MUHASEBEDE FAZLA</w:t>
            </w:r>
          </w:p>
          <w:p w:rsidR="00C74733" w:rsidRDefault="00C74733">
            <w:pPr>
              <w:jc w:val="center"/>
              <w:rPr>
                <w:b/>
                <w:bCs/>
                <w:sz w:val="20"/>
                <w:szCs w:val="20"/>
              </w:rPr>
            </w:pPr>
          </w:p>
        </w:tc>
        <w:tc>
          <w:tcPr>
            <w:tcW w:w="1055"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C74733" w:rsidRDefault="00C74733">
            <w:pPr>
              <w:pStyle w:val="Balk3"/>
              <w:rPr>
                <w:rFonts w:ascii="Times New Roman" w:hAnsi="Times New Roman" w:cs="Times New Roman"/>
                <w:sz w:val="20"/>
                <w:szCs w:val="20"/>
              </w:rPr>
            </w:pPr>
            <w:r>
              <w:rPr>
                <w:rFonts w:ascii="Times New Roman" w:hAnsi="Times New Roman" w:cs="Times New Roman"/>
                <w:sz w:val="20"/>
                <w:szCs w:val="20"/>
              </w:rPr>
              <w:t>MUHASEBEDE NOKSAN</w:t>
            </w:r>
          </w:p>
          <w:p w:rsidR="00C74733" w:rsidRDefault="00C74733">
            <w:pPr>
              <w:jc w:val="center"/>
              <w:rPr>
                <w:b/>
                <w:bCs/>
                <w:sz w:val="20"/>
                <w:szCs w:val="20"/>
              </w:rPr>
            </w:pPr>
          </w:p>
        </w:tc>
      </w:tr>
      <w:tr w:rsidR="00C74733">
        <w:trPr>
          <w:cantSplit/>
          <w:trHeight w:val="402"/>
          <w:jc w:val="center"/>
        </w:trPr>
        <w:tc>
          <w:tcPr>
            <w:tcW w:w="1539" w:type="pct"/>
            <w:gridSpan w:val="2"/>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C74733" w:rsidRDefault="00C74733">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74733" w:rsidRDefault="00C74733">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C74733" w:rsidRDefault="00C74733">
            <w:pPr>
              <w:jc w:val="center"/>
              <w:rPr>
                <w:sz w:val="16"/>
                <w:szCs w:val="16"/>
              </w:rPr>
            </w:pPr>
          </w:p>
        </w:tc>
      </w:tr>
      <w:tr w:rsidR="00C74733">
        <w:trPr>
          <w:cantSplit/>
          <w:trHeight w:val="1705"/>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C74733" w:rsidRDefault="00C74733">
            <w:pPr>
              <w:pStyle w:val="bekMetni"/>
              <w:rPr>
                <w:rFonts w:ascii="Times New Roman" w:hAnsi="Times New Roman" w:cs="Times New Roman"/>
              </w:rPr>
            </w:pPr>
          </w:p>
          <w:p w:rsidR="00C74733" w:rsidRDefault="00C74733">
            <w:pPr>
              <w:pStyle w:val="bekMetni"/>
              <w:spacing w:line="240" w:lineRule="exact"/>
              <w:ind w:right="193"/>
              <w:rPr>
                <w:rFonts w:ascii="Times New Roman" w:hAnsi="Times New Roman" w:cs="Times New Roman"/>
                <w:b w:val="0"/>
                <w:bCs w:val="0"/>
                <w:sz w:val="22"/>
                <w:szCs w:val="22"/>
              </w:rPr>
            </w:pPr>
            <w:r>
              <w:rPr>
                <w:rFonts w:ascii="Times New Roman" w:hAnsi="Times New Roman" w:cs="Times New Roman"/>
                <w:b w:val="0"/>
                <w:bCs w:val="0"/>
                <w:sz w:val="22"/>
                <w:szCs w:val="22"/>
              </w:rPr>
              <w:t>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ile  bir Kuruşa iblağ edilen yarım Kuruş ve üzerindeki değerlerden kaynaklandığını; yukarıda bildirilen farklardan yuvarlama işleminden kaynaklanmadığı tespit edilenlere ilişkin sorumluluğun tarafımıza ait olduğunu beyan ederiz.</w:t>
            </w:r>
          </w:p>
          <w:p w:rsidR="00C74733" w:rsidRDefault="00C74733">
            <w:pPr>
              <w:pStyle w:val="bekMetni"/>
              <w:spacing w:line="240" w:lineRule="exact"/>
              <w:ind w:right="193"/>
              <w:rPr>
                <w:rFonts w:ascii="Times New Roman" w:hAnsi="Times New Roman" w:cs="Times New Roman"/>
              </w:rPr>
            </w:pPr>
          </w:p>
          <w:p w:rsidR="00C74733" w:rsidRDefault="00C74733">
            <w:pPr>
              <w:pStyle w:val="bekMetni"/>
              <w:rPr>
                <w:rFonts w:ascii="Times New Roman" w:hAnsi="Times New Roman" w:cs="Times New Roman"/>
              </w:rPr>
            </w:pPr>
          </w:p>
          <w:p w:rsidR="00C74733" w:rsidRDefault="00C74733">
            <w:pPr>
              <w:pStyle w:val="bekMetni"/>
              <w:rPr>
                <w:rFonts w:ascii="Times New Roman" w:hAnsi="Times New Roman" w:cs="Times New Roman"/>
                <w:sz w:val="22"/>
                <w:szCs w:val="22"/>
              </w:rPr>
            </w:pPr>
            <w:r>
              <w:rPr>
                <w:rFonts w:ascii="Times New Roman" w:hAnsi="Times New Roman" w:cs="Times New Roman"/>
                <w:sz w:val="22"/>
                <w:szCs w:val="22"/>
              </w:rPr>
              <w:t>Taşınır Kayıt ve Kontrol Yetkilisi                                                                  Harcama Yetkilisi</w:t>
            </w:r>
          </w:p>
          <w:p w:rsidR="00C74733" w:rsidRDefault="00C74733">
            <w:pPr>
              <w:pStyle w:val="bekMetni"/>
              <w:rPr>
                <w:rFonts w:ascii="Times New Roman" w:hAnsi="Times New Roman" w:cs="Times New Roman"/>
                <w:sz w:val="20"/>
                <w:szCs w:val="20"/>
              </w:rPr>
            </w:pPr>
            <w:r>
              <w:rPr>
                <w:rFonts w:ascii="Times New Roman" w:hAnsi="Times New Roman" w:cs="Times New Roman"/>
                <w:sz w:val="22"/>
                <w:szCs w:val="22"/>
              </w:rPr>
              <w:t xml:space="preserve">            Adı-Soyadı-İmza                                                                                  Adı-Soyadı-İmza</w:t>
            </w:r>
            <w:r>
              <w:rPr>
                <w:rFonts w:ascii="Times New Roman" w:hAnsi="Times New Roman" w:cs="Times New Roman"/>
                <w:sz w:val="20"/>
                <w:szCs w:val="20"/>
              </w:rPr>
              <w:t xml:space="preserve"> </w:t>
            </w:r>
          </w:p>
          <w:p w:rsidR="00C74733" w:rsidRDefault="00C74733">
            <w:pPr>
              <w:pStyle w:val="bekMetni"/>
              <w:rPr>
                <w:rFonts w:ascii="Times New Roman" w:hAnsi="Times New Roman" w:cs="Times New Roman"/>
                <w:sz w:val="20"/>
                <w:szCs w:val="20"/>
              </w:rPr>
            </w:pPr>
          </w:p>
          <w:p w:rsidR="00C74733" w:rsidRDefault="00C74733">
            <w:pPr>
              <w:jc w:val="both"/>
              <w:rPr>
                <w:b/>
                <w:bCs/>
                <w:sz w:val="16"/>
                <w:szCs w:val="16"/>
              </w:rPr>
            </w:pPr>
          </w:p>
        </w:tc>
      </w:tr>
    </w:tbl>
    <w:p w:rsidR="00C74733" w:rsidRDefault="00C74733">
      <w:pPr>
        <w:widowControl w:val="0"/>
        <w:autoSpaceDE w:val="0"/>
        <w:autoSpaceDN w:val="0"/>
        <w:adjustRightInd w:val="0"/>
        <w:ind w:firstLine="708"/>
        <w:jc w:val="both"/>
        <w:rPr>
          <w:sz w:val="20"/>
          <w:szCs w:val="20"/>
        </w:rPr>
      </w:pPr>
      <w:r>
        <w:rPr>
          <w:sz w:val="20"/>
          <w:szCs w:val="20"/>
        </w:rPr>
        <w:t xml:space="preserve"> </w:t>
      </w:r>
    </w:p>
    <w:sectPr w:rsidR="00C74733">
      <w:pgSz w:w="12240" w:h="15840" w:code="1"/>
      <w:pgMar w:top="1077" w:right="1134" w:bottom="1077"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00EC0"/>
    <w:multiLevelType w:val="hybridMultilevel"/>
    <w:tmpl w:val="6C961982"/>
    <w:lvl w:ilvl="0" w:tplc="4E767914">
      <w:start w:val="1"/>
      <w:numFmt w:val="lowerLetter"/>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1">
    <w:nsid w:val="50A34573"/>
    <w:multiLevelType w:val="hybridMultilevel"/>
    <w:tmpl w:val="0C94D71C"/>
    <w:lvl w:ilvl="0" w:tplc="6C22BD48">
      <w:start w:val="1"/>
      <w:numFmt w:val="lowerLetter"/>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2">
    <w:nsid w:val="6F17264F"/>
    <w:multiLevelType w:val="hybridMultilevel"/>
    <w:tmpl w:val="4AB6785A"/>
    <w:lvl w:ilvl="0" w:tplc="28500F54">
      <w:start w:val="1"/>
      <w:numFmt w:val="decimal"/>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3">
    <w:nsid w:val="6F4A32C7"/>
    <w:multiLevelType w:val="hybridMultilevel"/>
    <w:tmpl w:val="54CEE7E4"/>
    <w:lvl w:ilvl="0" w:tplc="78F02568">
      <w:start w:val="1"/>
      <w:numFmt w:val="lowerLetter"/>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74733"/>
    <w:rsid w:val="003A1316"/>
    <w:rsid w:val="0060311C"/>
    <w:rsid w:val="00C747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Balk1">
    <w:name w:val="heading 1"/>
    <w:basedOn w:val="Normal"/>
    <w:next w:val="Normal"/>
    <w:link w:val="Balk1Char"/>
    <w:uiPriority w:val="99"/>
    <w:qFormat/>
    <w:pPr>
      <w:keepNext/>
      <w:widowControl w:val="0"/>
      <w:autoSpaceDE w:val="0"/>
      <w:autoSpaceDN w:val="0"/>
      <w:adjustRightInd w:val="0"/>
      <w:ind w:firstLine="708"/>
      <w:jc w:val="both"/>
      <w:outlineLvl w:val="0"/>
    </w:pPr>
    <w:rPr>
      <w:b/>
      <w:bCs/>
    </w:rPr>
  </w:style>
  <w:style w:type="paragraph" w:styleId="Balk2">
    <w:name w:val="heading 2"/>
    <w:basedOn w:val="Normal"/>
    <w:next w:val="Normal"/>
    <w:link w:val="Balk2Char"/>
    <w:uiPriority w:val="99"/>
    <w:qFormat/>
    <w:pPr>
      <w:keepNext/>
      <w:widowControl w:val="0"/>
      <w:autoSpaceDE w:val="0"/>
      <w:autoSpaceDN w:val="0"/>
      <w:adjustRightInd w:val="0"/>
      <w:jc w:val="center"/>
      <w:outlineLvl w:val="1"/>
    </w:pPr>
    <w:rPr>
      <w:b/>
      <w:bCs/>
      <w:sz w:val="20"/>
      <w:szCs w:val="20"/>
    </w:rPr>
  </w:style>
  <w:style w:type="paragraph" w:styleId="Balk3">
    <w:name w:val="heading 3"/>
    <w:basedOn w:val="Normal"/>
    <w:next w:val="Normal"/>
    <w:link w:val="Balk3Char"/>
    <w:uiPriority w:val="99"/>
    <w:qFormat/>
    <w:pPr>
      <w:keepNext/>
      <w:jc w:val="center"/>
      <w:outlineLvl w:val="2"/>
    </w:pPr>
    <w:rPr>
      <w:rFonts w:ascii="Tahoma" w:hAnsi="Tahoma" w:cs="Tahoma"/>
      <w:b/>
      <w:bCs/>
      <w:sz w:val="16"/>
      <w:szCs w:val="16"/>
    </w:rPr>
  </w:style>
  <w:style w:type="paragraph" w:styleId="Balk4">
    <w:name w:val="heading 4"/>
    <w:basedOn w:val="Normal"/>
    <w:next w:val="Normal"/>
    <w:link w:val="Balk4Char"/>
    <w:uiPriority w:val="99"/>
    <w:qFormat/>
    <w:pPr>
      <w:keepNext/>
      <w:widowControl w:val="0"/>
      <w:autoSpaceDE w:val="0"/>
      <w:autoSpaceDN w:val="0"/>
      <w:adjustRightInd w:val="0"/>
      <w:ind w:firstLine="708"/>
      <w:jc w:val="right"/>
      <w:outlineLvl w:val="3"/>
    </w:pPr>
    <w:rPr>
      <w:b/>
      <w:bCs/>
    </w:rPr>
  </w:style>
  <w:style w:type="character" w:default="1" w:styleId="VarsaylanParagrafYazTipi">
    <w:name w:val="Default Paragraph Font"/>
    <w:uiPriority w:val="99"/>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heme="minorBidi"/>
      <w:b/>
      <w:bCs/>
      <w:sz w:val="28"/>
      <w:szCs w:val="28"/>
    </w:rPr>
  </w:style>
  <w:style w:type="paragraph" w:styleId="GvdeMetni2">
    <w:name w:val="Body Text 2"/>
    <w:basedOn w:val="Normal"/>
    <w:link w:val="GvdeMetni2Char"/>
    <w:uiPriority w:val="99"/>
    <w:pPr>
      <w:widowControl w:val="0"/>
      <w:autoSpaceDE w:val="0"/>
      <w:autoSpaceDN w:val="0"/>
      <w:adjustRightInd w:val="0"/>
      <w:ind w:firstLine="708"/>
      <w:jc w:val="both"/>
    </w:pPr>
    <w:rPr>
      <w:rFonts w:ascii="Times New Roman TUR" w:hAnsi="Times New Roman TUR" w:cs="Times New Roman TUR"/>
    </w:rPr>
  </w:style>
  <w:style w:type="character" w:customStyle="1" w:styleId="GvdeMetni2Char">
    <w:name w:val="Gövde Metni 2 Char"/>
    <w:basedOn w:val="VarsaylanParagrafYazTipi"/>
    <w:link w:val="GvdeMetni2"/>
    <w:uiPriority w:val="99"/>
    <w:semiHidden/>
    <w:locked/>
    <w:rPr>
      <w:rFonts w:cs="Times New Roman"/>
      <w:sz w:val="24"/>
      <w:szCs w:val="24"/>
    </w:rPr>
  </w:style>
  <w:style w:type="paragraph" w:styleId="bekMetni">
    <w:name w:val="Block Text"/>
    <w:basedOn w:val="Normal"/>
    <w:uiPriority w:val="99"/>
    <w:pPr>
      <w:ind w:left="284" w:right="190" w:firstLine="425"/>
      <w:jc w:val="both"/>
    </w:pPr>
    <w:rPr>
      <w:rFonts w:ascii="Tahoma" w:hAnsi="Tahoma" w:cs="Tahoma"/>
      <w:b/>
      <w:bCs/>
      <w:sz w:val="16"/>
      <w:szCs w:val="16"/>
    </w:rPr>
  </w:style>
  <w:style w:type="paragraph" w:styleId="GvdeMetniGirintisi2">
    <w:name w:val="Body Text Indent 2"/>
    <w:basedOn w:val="Normal"/>
    <w:link w:val="GvdeMetniGirintisi2Char"/>
    <w:uiPriority w:val="99"/>
    <w:pPr>
      <w:widowControl w:val="0"/>
      <w:autoSpaceDE w:val="0"/>
      <w:autoSpaceDN w:val="0"/>
      <w:adjustRightInd w:val="0"/>
      <w:ind w:firstLine="708"/>
      <w:jc w:val="both"/>
    </w:pPr>
    <w:rPr>
      <w:sz w:val="16"/>
      <w:szCs w:val="16"/>
    </w:rPr>
  </w:style>
  <w:style w:type="character" w:customStyle="1" w:styleId="GvdeMetniGirintisi2Char">
    <w:name w:val="Gövde Metni Girintisi 2 Char"/>
    <w:basedOn w:val="VarsaylanParagrafYazTipi"/>
    <w:link w:val="GvdeMetniGirintisi2"/>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4</DocSecurity>
  <Lines>44</Lines>
  <Paragraphs>12</Paragraphs>
  <ScaleCrop>false</ScaleCrop>
  <Company>MGM</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islam.ince</dc:creator>
  <cp:lastModifiedBy>bilgisayar</cp:lastModifiedBy>
  <cp:revision>2</cp:revision>
  <cp:lastPrinted>2009-01-15T13:42:00Z</cp:lastPrinted>
  <dcterms:created xsi:type="dcterms:W3CDTF">2015-12-15T12:09:00Z</dcterms:created>
  <dcterms:modified xsi:type="dcterms:W3CDTF">2015-12-15T12:09:00Z</dcterms:modified>
</cp:coreProperties>
</file>